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«Математическое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Обучение служением</w:t>
            </w:r>
          </w:p>
          <w:p>
            <w:pPr>
              <w:jc w:val="center"/>
              <w:spacing w:after="0" w:line="240" w:lineRule="auto"/>
              <w:rPr>
                <w:sz w:val="32"/>
                <w:szCs w:val="32"/>
              </w:rPr>
            </w:pPr>
            <w:r>
              <w:rPr>
                <w:rFonts w:ascii="Times New Roman" w:hAnsi="Times New Roman" w:cs="Times New Roman"/>
                <w:color w:val="#000000"/>
                <w:sz w:val="32"/>
                <w:szCs w:val="32"/>
              </w:rPr>
              <w:t> ФТД.06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«Математическое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«Математическое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«Обучение служением»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85.18"/>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ФТД.06 «Обучение служением».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«Обучение служением»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основы эффективного речевого и социального взаимодействия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работать в команде, проявлять лидерские качества и умения</w:t>
            </w:r>
          </w:p>
        </w:tc>
      </w:tr>
      <w:tr>
        <w:trPr>
          <w:trHeight w:hRule="exact" w:val="585.060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владеть навыками работы с институтами и организациями в процессе осуществления социального взаимодействия</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ФТД.06 «Обучение служением»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Организация добровольческой (волонтерской) деятельности и взаимодействие с социально ориентированными НКО</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Добровольчество (волонтерство) и социально ориентированные НКО: определение и местоположение в обществе, законодательство, государственная политика, инфраструктура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Волонтерство как практика гражданского общества: исторические традиции, многообразие современных форм и направлений, масштабы участия россиян, зарубежный опыт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 ориентированные НКО в структуре российского гражданского общества: формы, количественные и качественные характеристики, связи с другими секторами (государство и рынок), добровольные объединения в истории России как предшественники современных НКО, формы добровольных объединений граждан зарубежом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Законодательное регулирование добровольчества (волонтерства) в России и НКО, включая социально ориентированные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в области содействия развитию институтов гражданского общества и формы государственной поддержки добровольчества (волонтерства) и СОНКО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Инфраструктура развития волонтерской деятельности и СОНКО: модели ресурсных центров, волонтерских центров, финансовая поддержка СОНКО и добровольчества (волонтерства) на муниципальном, региональном, федеральном уровне (субсидии, гранты Фонда президентских грантов)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Природа инициативных групп и СОНКО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структуры НКО. Виды и уровни управления.Органы управления в СОНКО, особенности функционирования.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ресурсами, привлечение средств. Фандрайзинг, краудфандинг, участие в конкурсах субсидий и грантов. Взаимодействие с частными и корпоративными донорами.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Связи с общественностью. Популяризация деятельности. Прозрачность и доступность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Отчетность в НКО, аудит и налогообложение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Лидерство в НКО, роль руководителей в НКО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Дизайн-мышление как метод совместной деятельности с добровольцами (волонтерами) и представителями СОНКО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Межсекторное взаимодействие: цели и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и технологии взаимодействия сСОНКО, включая содействие укреплению их роли как поставщиков услуг в социальной сфере, организаторов волонтерской деятельности, внедрению инноваций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продвижения результатов совместной деятельности с СОНКО и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Мотивирование волонтеров и сотрудников СОНКО. Подходы к решению проблемы эмоционального и психологического выгорания.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рисками в работе с СОНКО и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и принятие управленческих решений в сфере взаимодействия с СОНКО и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взаимодействия с бизнес- организациями и корпоративными донорами.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Методы оценки эффективности деятельности СОНКО иволонтеров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проектов и эффективности деятельности СОНКО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волонтерской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Волонтерская деятельность в отдельных отраслях социальной сферы и направлениях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добровольчества (волонтерства) в здравоохранении и социальном обслуживании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добровольчества (волонтерства) в образовании и культуре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добровольчества (волонтерства) в сфере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добровольчества (волонтерства) в сфере охраны природы, предупреждения и ликвидации последствий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370.96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64.4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Волонтерство как практика гражданского общества: исторические традиции, многообразие современных форм и направлений, масштабы участия россиян, зарубежный опыт</w:t>
            </w:r>
          </w:p>
        </w:tc>
      </w:tr>
      <w:tr>
        <w:trPr>
          <w:trHeight w:hRule="exact" w:val="828.7859"/>
        </w:trPr>
        <w:tc>
          <w:tcPr>
            <w:tcW w:w="9654" w:type="dxa"/>
            <w:tcBorders>
</w:tcBorders>
            <w:vMerge/>
            <w:shd w:val="clear" w:color="#000000" w:fill="#FFFFFF"/>
            <w:vAlign w:val="top"/>
            <w:tcMar>
              <w:left w:w="34" w:type="dxa"/>
              <w:right w:w="34" w:type="dxa"/>
            </w:tcMar>
          </w:tcP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 ориентированные НКО в структуре российского гражданского общества: формы, количественные и качественные характеристики, связи с другими секторами (государство и рынок), добровольные объединения в истории России как предшественники современных НКО, формы добровольных объединений граждан зарубежом</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структуры НКО. Виды и уровни управления.Органы управления в СОНКО, особенности функционирования.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Задачи и технологии взаимодействия сСОНКО, включая содействие укреплению их роли как поставщиков услуг в социальной сфере, организаторов волонтерской деятельности, внедрению инноваций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Законодательное регулирование добровольчества (волонтерства) в России и НКО, включая социально ориентированные организации.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ресурсами, привлечение средств. Фандрайзинг, краудфандинг, участие в конкурсах субсидий и грантов. Взаимодействие с частными и корпоративными донорами.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Связи с общественностью. Популяризация деятельности. Прозрачность и доступность информации.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продвижения результатов совместной деятельности с СОНКО и волонтерами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«Обучение служением»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Социально-культурное</w:t>
            </w:r>
            <w:r>
              <w:rPr/>
              <w:t xml:space="preserve"> </w:t>
            </w:r>
            <w:r>
              <w:rPr>
                <w:rFonts w:ascii="Times New Roman" w:hAnsi="Times New Roman" w:cs="Times New Roman"/>
                <w:color w:val="#000000"/>
                <w:sz w:val="24"/>
                <w:szCs w:val="24"/>
              </w:rPr>
              <w:t>творчество</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молодежных</w:t>
            </w:r>
            <w:r>
              <w:rPr/>
              <w:t xml:space="preserve"> </w:t>
            </w:r>
            <w:r>
              <w:rPr>
                <w:rFonts w:ascii="Times New Roman" w:hAnsi="Times New Roman" w:cs="Times New Roman"/>
                <w:color w:val="#000000"/>
                <w:sz w:val="24"/>
                <w:szCs w:val="24"/>
              </w:rPr>
              <w:t>объединений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формировании</w:t>
            </w:r>
            <w:r>
              <w:rPr/>
              <w:t xml:space="preserve"> </w:t>
            </w:r>
            <w:r>
              <w:rPr>
                <w:rFonts w:ascii="Times New Roman" w:hAnsi="Times New Roman" w:cs="Times New Roman"/>
                <w:color w:val="#000000"/>
                <w:sz w:val="24"/>
                <w:szCs w:val="24"/>
              </w:rPr>
              <w:t>института</w:t>
            </w:r>
            <w:r>
              <w:rPr/>
              <w:t xml:space="preserve"> </w:t>
            </w:r>
            <w:r>
              <w:rPr>
                <w:rFonts w:ascii="Times New Roman" w:hAnsi="Times New Roman" w:cs="Times New Roman"/>
                <w:color w:val="#000000"/>
                <w:sz w:val="24"/>
                <w:szCs w:val="24"/>
              </w:rPr>
              <w:t>волонтерства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http://www.iprbookshop.ru/66366.html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978-5-00094-344-1.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http://www.iprbookshop.ru/68907.html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волонтерского</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http://www.iprbookshop.ru/63025.html</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9.671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65.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170.5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687.2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2024-2025_ФГОС3++2024_Бак-ОФО-ПО(МО)(24)_plx_Обучение служением</dc:title>
  <dc:creator>FastReport.NET</dc:creator>
</cp:coreProperties>
</file>